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73" w:rsidRDefault="007F0F73" w:rsidP="007F0F73">
      <w:pPr>
        <w:shd w:val="clear" w:color="auto" w:fill="FFFFFF"/>
        <w:jc w:val="center"/>
        <w:rPr>
          <w:rFonts w:ascii="黑体" w:eastAsia="黑体" w:hAnsi="黑体"/>
          <w:sz w:val="36"/>
          <w:szCs w:val="44"/>
        </w:rPr>
      </w:pPr>
      <w:r w:rsidRPr="007F0F73">
        <w:rPr>
          <w:rFonts w:ascii="黑体" w:eastAsia="黑体" w:hAnsi="黑体" w:hint="eastAsia"/>
          <w:sz w:val="36"/>
          <w:szCs w:val="44"/>
        </w:rPr>
        <w:t>高等学校计算机教育</w:t>
      </w:r>
      <w:r w:rsidR="0012707B">
        <w:rPr>
          <w:rFonts w:ascii="黑体" w:eastAsia="黑体" w:hAnsi="黑体" w:hint="eastAsia"/>
          <w:sz w:val="36"/>
          <w:szCs w:val="44"/>
        </w:rPr>
        <w:t>201</w:t>
      </w:r>
      <w:r w:rsidR="0001441B">
        <w:rPr>
          <w:rFonts w:ascii="黑体" w:eastAsia="黑体" w:hAnsi="黑体"/>
          <w:sz w:val="36"/>
          <w:szCs w:val="44"/>
        </w:rPr>
        <w:t>5</w:t>
      </w:r>
      <w:r w:rsidRPr="007F0F73">
        <w:rPr>
          <w:rFonts w:ascii="黑体" w:eastAsia="黑体" w:hAnsi="黑体" w:hint="eastAsia"/>
          <w:sz w:val="36"/>
          <w:szCs w:val="44"/>
        </w:rPr>
        <w:t>年度课题指南</w:t>
      </w:r>
    </w:p>
    <w:p w:rsidR="0001441B" w:rsidRPr="007F0F73" w:rsidRDefault="0001441B" w:rsidP="007F0F73">
      <w:pPr>
        <w:shd w:val="clear" w:color="auto" w:fill="FFFFFF"/>
        <w:jc w:val="center"/>
        <w:rPr>
          <w:rFonts w:ascii="方正仿宋简体" w:eastAsia="方正仿宋简体" w:hAnsi="Times New Roman"/>
          <w:sz w:val="24"/>
          <w:szCs w:val="32"/>
        </w:rPr>
      </w:pPr>
    </w:p>
    <w:p w:rsidR="000B0564" w:rsidRDefault="0001441B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宋体"/>
          <w:sz w:val="28"/>
          <w:szCs w:val="28"/>
        </w:rPr>
      </w:pPr>
      <w:r w:rsidRPr="0001441B">
        <w:rPr>
          <w:rFonts w:ascii="Times New Roman" w:hAnsi="宋体" w:hint="eastAsia"/>
          <w:sz w:val="28"/>
          <w:szCs w:val="28"/>
        </w:rPr>
        <w:t>课题类型包括三类：教育研究课题、教材建设课题、</w:t>
      </w:r>
      <w:r w:rsidRPr="0001441B">
        <w:rPr>
          <w:rFonts w:ascii="Times New Roman" w:hAnsi="宋体" w:hint="eastAsia"/>
          <w:sz w:val="28"/>
          <w:szCs w:val="28"/>
        </w:rPr>
        <w:t>MOOC</w:t>
      </w:r>
      <w:r w:rsidR="000B0564">
        <w:rPr>
          <w:rFonts w:ascii="Times New Roman" w:hAnsi="宋体" w:hint="eastAsia"/>
          <w:sz w:val="28"/>
          <w:szCs w:val="28"/>
        </w:rPr>
        <w:t>建设课题。</w:t>
      </w:r>
    </w:p>
    <w:p w:rsidR="00C377DD" w:rsidRPr="00C377DD" w:rsidRDefault="000B0564" w:rsidP="00C377DD">
      <w:pPr>
        <w:pStyle w:val="a5"/>
        <w:numPr>
          <w:ilvl w:val="0"/>
          <w:numId w:val="8"/>
        </w:numPr>
        <w:shd w:val="clear" w:color="auto" w:fill="FFFFFF"/>
        <w:snapToGrid w:val="0"/>
        <w:spacing w:line="312" w:lineRule="auto"/>
        <w:ind w:firstLineChars="0"/>
        <w:outlineLvl w:val="0"/>
        <w:rPr>
          <w:rFonts w:ascii="Times New Roman" w:hAnsi="宋体"/>
          <w:b/>
          <w:sz w:val="28"/>
          <w:szCs w:val="28"/>
        </w:rPr>
      </w:pPr>
      <w:r w:rsidRPr="00C377DD">
        <w:rPr>
          <w:rFonts w:ascii="Times New Roman" w:hAnsi="宋体" w:hint="eastAsia"/>
          <w:b/>
          <w:sz w:val="28"/>
          <w:szCs w:val="28"/>
        </w:rPr>
        <w:t>教育研究课题、教材建设课题</w:t>
      </w:r>
    </w:p>
    <w:p w:rsidR="0001441B" w:rsidRPr="00C377DD" w:rsidRDefault="00C377DD" w:rsidP="00C377DD">
      <w:pPr>
        <w:shd w:val="clear" w:color="auto" w:fill="FFFFFF"/>
        <w:snapToGrid w:val="0"/>
        <w:spacing w:line="312" w:lineRule="auto"/>
        <w:ind w:left="568"/>
        <w:outlineLvl w:val="0"/>
        <w:rPr>
          <w:rFonts w:ascii="Times New Roman" w:hAnsi="宋体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研究内容</w:t>
      </w:r>
      <w:r w:rsidR="0001441B" w:rsidRPr="00C377DD">
        <w:rPr>
          <w:rFonts w:ascii="Times New Roman" w:hAnsi="宋体"/>
          <w:sz w:val="28"/>
          <w:szCs w:val="28"/>
        </w:rPr>
        <w:t>包括但不限于以下方面：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1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计算机类专业教育课程体系研究与实践</w:t>
      </w:r>
    </w:p>
    <w:p w:rsidR="007F0F73" w:rsidRPr="007F0F73" w:rsidRDefault="007F0F73" w:rsidP="0001441B">
      <w:pPr>
        <w:shd w:val="clear" w:color="auto" w:fill="FFFFFF"/>
        <w:snapToGrid w:val="0"/>
        <w:spacing w:line="312" w:lineRule="auto"/>
        <w:ind w:firstLineChars="202" w:firstLine="566"/>
        <w:rPr>
          <w:rFonts w:ascii="Times New Roman" w:hAnsi="Times New Roman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t>进行计算机类专业（计算机科学与技术、物联网工程、网络工程、信息安全、软件工程、数字媒体技术）课程体系改革研究，包括但不限于下列专题，成果形式为公开发表的研究论文、专著、调研分析报告、课程体系方案、教材、实施效果评估和评价报告。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国际计算机专业课程体系调研分析；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目前国内各高校计算机专业课程体系现状调研分析；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社会对计算机类专业毕业生专业方向和专业水平的需求调研分析；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典型的课程体系案例研究；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计算机类专业课程体系改革方案设计与实施效果分析；</w:t>
      </w:r>
    </w:p>
    <w:p w:rsidR="007F0F73" w:rsidRPr="007F0F73" w:rsidRDefault="007F0F73" w:rsidP="000B0564">
      <w:pPr>
        <w:numPr>
          <w:ilvl w:val="0"/>
          <w:numId w:val="4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课程与教材建设。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2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计算机公共课程体系研究与实践</w:t>
      </w:r>
    </w:p>
    <w:p w:rsidR="007F0F73" w:rsidRPr="007F0F73" w:rsidRDefault="007F0F73" w:rsidP="0001441B">
      <w:pPr>
        <w:shd w:val="clear" w:color="auto" w:fill="FFFFFF"/>
        <w:snapToGrid w:val="0"/>
        <w:spacing w:line="312" w:lineRule="auto"/>
        <w:ind w:firstLineChars="202" w:firstLine="566"/>
        <w:rPr>
          <w:rFonts w:ascii="Times New Roman" w:hAnsi="Times New Roman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t>进行计算机公共课程体系改革研究，包括但不限于下列专题，成果形式为公开发表的研究论文、专著、调研分析报告、课程体系方案、教材、实施效果评估和评价报告。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国际跨专业计算机课程体系调研分析；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目前国内各高校计算机公共课程体系现状调研分析；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社会对非信息类专业毕业生计算机水平和能力的需求调研分析；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典型的课程体系案例研究；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计算机公共课程体系改革方案设计与实施效果分析；</w:t>
      </w:r>
    </w:p>
    <w:p w:rsidR="007F0F73" w:rsidRPr="007F0F73" w:rsidRDefault="007F0F73" w:rsidP="000B0564">
      <w:pPr>
        <w:numPr>
          <w:ilvl w:val="0"/>
          <w:numId w:val="6"/>
        </w:numPr>
        <w:shd w:val="clear" w:color="auto" w:fill="FFFFFF"/>
        <w:snapToGrid w:val="0"/>
        <w:spacing w:line="312" w:lineRule="auto"/>
        <w:rPr>
          <w:rFonts w:cs="Calibri"/>
          <w:sz w:val="28"/>
          <w:szCs w:val="28"/>
        </w:rPr>
      </w:pPr>
      <w:r w:rsidRPr="007F0F73">
        <w:rPr>
          <w:rFonts w:hAnsi="宋体" w:cs="Calibri" w:hint="eastAsia"/>
          <w:sz w:val="28"/>
          <w:szCs w:val="28"/>
        </w:rPr>
        <w:t>课程与教材建设。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3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计算思维</w:t>
      </w:r>
    </w:p>
    <w:p w:rsidR="007F0F73" w:rsidRPr="007F0F73" w:rsidRDefault="007F0F73" w:rsidP="0001441B">
      <w:pPr>
        <w:shd w:val="clear" w:color="auto" w:fill="FFFFFF"/>
        <w:snapToGrid w:val="0"/>
        <w:spacing w:line="312" w:lineRule="auto"/>
        <w:ind w:firstLineChars="202" w:firstLine="566"/>
        <w:rPr>
          <w:rFonts w:ascii="Times New Roman" w:hAnsi="Times New Roman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lastRenderedPageBreak/>
        <w:t>研究计算思维与计算机教育的关系、理论及实施方案，提倡结合中国特色的、符合建设人力资源强国需求的理论与实践创新。成果形式为公开发表的研究论文、专著、调研分析报告、实施方案与实施效果分析报告。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4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交叉学科人才培养探索</w:t>
      </w:r>
    </w:p>
    <w:p w:rsidR="007F0F73" w:rsidRPr="007F0F73" w:rsidRDefault="007F0F73" w:rsidP="0001441B">
      <w:pPr>
        <w:shd w:val="clear" w:color="auto" w:fill="FFFFFF"/>
        <w:snapToGrid w:val="0"/>
        <w:spacing w:line="312" w:lineRule="auto"/>
        <w:ind w:firstLineChars="202" w:firstLine="566"/>
        <w:rPr>
          <w:rFonts w:ascii="Times New Roman" w:hAnsi="Times New Roman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t>研究学科交叉对人才培养的影响，社会对交叉学科人才的需求，交叉学科人才培养方案与课程体系。成果形式为公开发表的研究论文、专著、调研分析报告、课程方案、教材、实施效果评估和评价报告。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5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本科实践能力培养及实践环境建设</w:t>
      </w:r>
    </w:p>
    <w:p w:rsidR="007F0F73" w:rsidRPr="007F0F73" w:rsidRDefault="007F0F73" w:rsidP="0001441B">
      <w:pPr>
        <w:shd w:val="clear" w:color="auto" w:fill="FFFFFF"/>
        <w:snapToGrid w:val="0"/>
        <w:spacing w:line="312" w:lineRule="auto"/>
        <w:ind w:firstLineChars="201" w:firstLine="563"/>
        <w:rPr>
          <w:rFonts w:ascii="Times New Roman" w:hAnsi="Times New Roman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t>结合各类学校的人才培养目标、办学特色研究计算机专业本科生实践能力培养及实践环境建设，研究本科生计算机公共课对学生实践能力培养的影响。成果形式为公开发表的研究论文、专著、教学模式设计方案、实践环境建设报告，实施效果评估和评价报告。</w:t>
      </w:r>
    </w:p>
    <w:p w:rsidR="007F0F73" w:rsidRPr="007F0F73" w:rsidRDefault="000B0564" w:rsidP="0001441B">
      <w:pPr>
        <w:shd w:val="clear" w:color="auto" w:fill="FFFFFF"/>
        <w:snapToGrid w:val="0"/>
        <w:spacing w:line="312" w:lineRule="auto"/>
        <w:ind w:firstLineChars="202" w:firstLine="56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宋体" w:hint="eastAsia"/>
          <w:sz w:val="28"/>
          <w:szCs w:val="28"/>
        </w:rPr>
        <w:t>6</w:t>
      </w:r>
      <w:r>
        <w:rPr>
          <w:rFonts w:ascii="Times New Roman" w:hAnsi="宋体"/>
          <w:sz w:val="28"/>
          <w:szCs w:val="28"/>
        </w:rPr>
        <w:t xml:space="preserve">. </w:t>
      </w:r>
      <w:r w:rsidR="007F0F73" w:rsidRPr="007F0F73">
        <w:rPr>
          <w:rFonts w:ascii="Times New Roman" w:hAnsi="宋体" w:hint="eastAsia"/>
          <w:sz w:val="28"/>
          <w:szCs w:val="28"/>
        </w:rPr>
        <w:t>计算机课程教学资源</w:t>
      </w:r>
      <w:r w:rsidR="0012707B">
        <w:rPr>
          <w:rFonts w:ascii="Times New Roman" w:hAnsi="宋体" w:hint="eastAsia"/>
          <w:sz w:val="28"/>
          <w:szCs w:val="28"/>
        </w:rPr>
        <w:t>建设、在线课程建设、</w:t>
      </w:r>
      <w:r w:rsidR="007F0F73" w:rsidRPr="007F0F73">
        <w:rPr>
          <w:rFonts w:ascii="Times New Roman" w:hAnsi="宋体" w:hint="eastAsia"/>
          <w:sz w:val="28"/>
          <w:szCs w:val="28"/>
        </w:rPr>
        <w:t>立体化教学支撑环境建设</w:t>
      </w:r>
    </w:p>
    <w:p w:rsidR="007F0F73" w:rsidRDefault="007F0F73" w:rsidP="0001441B">
      <w:pPr>
        <w:shd w:val="clear" w:color="auto" w:fill="FFFFFF"/>
        <w:snapToGrid w:val="0"/>
        <w:spacing w:line="312" w:lineRule="auto"/>
        <w:ind w:firstLineChars="201" w:firstLine="563"/>
        <w:rPr>
          <w:rFonts w:ascii="Times New Roman" w:hAnsi="宋体"/>
          <w:sz w:val="28"/>
          <w:szCs w:val="28"/>
        </w:rPr>
      </w:pPr>
      <w:r w:rsidRPr="007F0F73">
        <w:rPr>
          <w:rFonts w:ascii="Times New Roman" w:hAnsi="宋体" w:hint="eastAsia"/>
          <w:sz w:val="28"/>
          <w:szCs w:val="28"/>
        </w:rPr>
        <w:t>研究教学资源</w:t>
      </w:r>
      <w:r w:rsidR="0012707B">
        <w:rPr>
          <w:rFonts w:ascii="Times New Roman" w:hAnsi="宋体" w:hint="eastAsia"/>
          <w:sz w:val="28"/>
          <w:szCs w:val="28"/>
        </w:rPr>
        <w:t>、在线课程</w:t>
      </w:r>
      <w:r w:rsidRPr="007F0F73">
        <w:rPr>
          <w:rFonts w:ascii="Times New Roman" w:hAnsi="宋体" w:hint="eastAsia"/>
          <w:sz w:val="28"/>
          <w:szCs w:val="28"/>
        </w:rPr>
        <w:t>与立体化教学支撑环境建设的一般规律、基础理论与方法、建设规范。成果形式为公开发表的研究论文、专著、具有共享与推广价值的</w:t>
      </w:r>
      <w:r w:rsidR="0012707B">
        <w:rPr>
          <w:rFonts w:ascii="Times New Roman" w:hAnsi="宋体" w:hint="eastAsia"/>
          <w:sz w:val="28"/>
          <w:szCs w:val="28"/>
        </w:rPr>
        <w:t>教学</w:t>
      </w:r>
      <w:r w:rsidRPr="007F0F73">
        <w:rPr>
          <w:rFonts w:ascii="Times New Roman" w:hAnsi="宋体" w:hint="eastAsia"/>
          <w:sz w:val="28"/>
          <w:szCs w:val="28"/>
        </w:rPr>
        <w:t>资源</w:t>
      </w:r>
      <w:r w:rsidR="0012707B">
        <w:rPr>
          <w:rFonts w:ascii="Times New Roman" w:hAnsi="宋体" w:hint="eastAsia"/>
          <w:sz w:val="28"/>
          <w:szCs w:val="28"/>
        </w:rPr>
        <w:t>、在线课程</w:t>
      </w:r>
      <w:r w:rsidRPr="007F0F73">
        <w:rPr>
          <w:rFonts w:ascii="Times New Roman" w:hAnsi="宋体" w:hint="eastAsia"/>
          <w:sz w:val="28"/>
          <w:szCs w:val="28"/>
        </w:rPr>
        <w:t>和支撑环境系统、推广应用效果评估和评价报告、国家标准和教育行业标准。对于符合国家标准或教育行业标准立项要求的成果，研究会将组织申请国家或教育部的标准研究项目。</w:t>
      </w:r>
    </w:p>
    <w:p w:rsidR="000B0564" w:rsidRDefault="000B0564" w:rsidP="0001441B">
      <w:pPr>
        <w:shd w:val="clear" w:color="auto" w:fill="FFFFFF"/>
        <w:snapToGrid w:val="0"/>
        <w:spacing w:line="312" w:lineRule="auto"/>
        <w:ind w:firstLineChars="201" w:firstLine="563"/>
        <w:rPr>
          <w:rFonts w:ascii="Times New Roman" w:hAnsi="Times New Roman"/>
          <w:sz w:val="28"/>
          <w:szCs w:val="28"/>
        </w:rPr>
      </w:pPr>
    </w:p>
    <w:p w:rsidR="000B0564" w:rsidRPr="00C377DD" w:rsidRDefault="000B0564" w:rsidP="0001441B">
      <w:pPr>
        <w:shd w:val="clear" w:color="auto" w:fill="FFFFFF"/>
        <w:snapToGrid w:val="0"/>
        <w:spacing w:line="312" w:lineRule="auto"/>
        <w:ind w:firstLineChars="201" w:firstLine="565"/>
        <w:rPr>
          <w:rFonts w:ascii="Times New Roman" w:hAnsi="Times New Roman"/>
          <w:b/>
          <w:sz w:val="28"/>
          <w:szCs w:val="28"/>
        </w:rPr>
      </w:pPr>
      <w:r w:rsidRPr="00C377DD">
        <w:rPr>
          <w:rFonts w:ascii="Times New Roman" w:hAnsi="Times New Roman" w:hint="eastAsia"/>
          <w:b/>
          <w:sz w:val="28"/>
          <w:szCs w:val="28"/>
        </w:rPr>
        <w:t>二</w:t>
      </w:r>
      <w:r w:rsidRPr="00C377DD">
        <w:rPr>
          <w:rFonts w:ascii="Times New Roman" w:hAnsi="Times New Roman"/>
          <w:b/>
          <w:sz w:val="28"/>
          <w:szCs w:val="28"/>
        </w:rPr>
        <w:t>、</w:t>
      </w:r>
      <w:r w:rsidRPr="00C377DD">
        <w:rPr>
          <w:rFonts w:ascii="Times New Roman" w:hAnsi="Times New Roman" w:hint="eastAsia"/>
          <w:b/>
          <w:sz w:val="28"/>
          <w:szCs w:val="28"/>
        </w:rPr>
        <w:t>MOOC</w:t>
      </w:r>
      <w:r w:rsidRPr="00C377DD">
        <w:rPr>
          <w:rFonts w:ascii="Times New Roman" w:hAnsi="Times New Roman" w:hint="eastAsia"/>
          <w:b/>
          <w:sz w:val="28"/>
          <w:szCs w:val="28"/>
        </w:rPr>
        <w:t>建设课题</w:t>
      </w:r>
      <w:bookmarkStart w:id="0" w:name="_GoBack"/>
      <w:bookmarkEnd w:id="0"/>
    </w:p>
    <w:p w:rsidR="000B0564" w:rsidRDefault="000B0564" w:rsidP="0001441B">
      <w:pPr>
        <w:shd w:val="clear" w:color="auto" w:fill="FFFFFF"/>
        <w:snapToGrid w:val="0"/>
        <w:spacing w:line="312" w:lineRule="auto"/>
        <w:ind w:firstLineChars="201" w:firstLine="5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MOOC</w:t>
      </w:r>
      <w:r>
        <w:rPr>
          <w:rFonts w:ascii="Times New Roman" w:hAnsi="Times New Roman"/>
          <w:sz w:val="28"/>
          <w:szCs w:val="28"/>
        </w:rPr>
        <w:t>课程对于优质教育资源共享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/>
          <w:sz w:val="28"/>
          <w:szCs w:val="28"/>
        </w:rPr>
        <w:t>促进教育公平具有重要意义</w:t>
      </w:r>
      <w:r>
        <w:rPr>
          <w:rFonts w:ascii="Times New Roman" w:hAnsi="Times New Roman" w:hint="eastAsia"/>
          <w:sz w:val="28"/>
          <w:szCs w:val="28"/>
        </w:rPr>
        <w:t>。</w:t>
      </w:r>
      <w:r>
        <w:rPr>
          <w:rFonts w:ascii="Times New Roman" w:hAnsi="Times New Roman" w:hint="eastAsia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015</w:t>
      </w:r>
      <w:r>
        <w:rPr>
          <w:rFonts w:ascii="Times New Roman" w:hAnsi="Times New Roman" w:hint="eastAsia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>设立此项课题，旨在为学校和教师</w:t>
      </w:r>
      <w:r>
        <w:rPr>
          <w:rFonts w:ascii="Times New Roman" w:hAnsi="Times New Roman" w:hint="eastAsia"/>
          <w:sz w:val="28"/>
          <w:szCs w:val="28"/>
        </w:rPr>
        <w:t>共享优秀课程、</w:t>
      </w:r>
      <w:r>
        <w:rPr>
          <w:rFonts w:ascii="Times New Roman" w:hAnsi="Times New Roman"/>
          <w:sz w:val="28"/>
          <w:szCs w:val="28"/>
        </w:rPr>
        <w:t>优质教学资源</w:t>
      </w:r>
      <w:r>
        <w:rPr>
          <w:rFonts w:ascii="Times New Roman" w:hAnsi="Times New Roman" w:hint="eastAsia"/>
          <w:sz w:val="28"/>
          <w:szCs w:val="28"/>
        </w:rPr>
        <w:t>提供资助，</w:t>
      </w:r>
      <w:r>
        <w:rPr>
          <w:rFonts w:ascii="Times New Roman" w:hAnsi="Times New Roman"/>
          <w:sz w:val="28"/>
          <w:szCs w:val="28"/>
        </w:rPr>
        <w:t>欢迎各类学校</w:t>
      </w:r>
      <w:r>
        <w:rPr>
          <w:rFonts w:ascii="Times New Roman" w:hAnsi="Times New Roman" w:hint="eastAsia"/>
          <w:sz w:val="28"/>
          <w:szCs w:val="28"/>
        </w:rPr>
        <w:t>积极申报。优先遴选如下类型课程</w:t>
      </w:r>
      <w:r>
        <w:rPr>
          <w:rFonts w:ascii="Times New Roman" w:hAnsi="Times New Roman"/>
          <w:sz w:val="28"/>
          <w:szCs w:val="28"/>
        </w:rPr>
        <w:t>：</w:t>
      </w:r>
    </w:p>
    <w:p w:rsidR="000B0564" w:rsidRDefault="000B0564" w:rsidP="000B0564">
      <w:pPr>
        <w:pStyle w:val="a5"/>
        <w:numPr>
          <w:ilvl w:val="0"/>
          <w:numId w:val="7"/>
        </w:numPr>
        <w:shd w:val="clear" w:color="auto" w:fill="FFFFFF"/>
        <w:snapToGrid w:val="0"/>
        <w:spacing w:line="312" w:lineRule="auto"/>
        <w:ind w:firstLineChars="0"/>
        <w:rPr>
          <w:rFonts w:ascii="Times New Roman" w:hAnsi="Times New Roman"/>
          <w:sz w:val="28"/>
          <w:szCs w:val="28"/>
        </w:rPr>
      </w:pPr>
      <w:r w:rsidRPr="000B0564">
        <w:rPr>
          <w:rFonts w:ascii="Times New Roman" w:hAnsi="Times New Roman" w:hint="eastAsia"/>
          <w:sz w:val="28"/>
          <w:szCs w:val="28"/>
        </w:rPr>
        <w:t>高水平</w:t>
      </w:r>
      <w:r w:rsidRPr="000B0564">
        <w:rPr>
          <w:rFonts w:ascii="Times New Roman" w:hAnsi="Times New Roman"/>
          <w:sz w:val="28"/>
          <w:szCs w:val="28"/>
        </w:rPr>
        <w:t>、普适性</w:t>
      </w:r>
      <w:r w:rsidR="00C377DD">
        <w:rPr>
          <w:rFonts w:ascii="Times New Roman" w:hAnsi="Times New Roman" w:hint="eastAsia"/>
          <w:sz w:val="28"/>
          <w:szCs w:val="28"/>
        </w:rPr>
        <w:t>强</w:t>
      </w:r>
      <w:r w:rsidRPr="000B0564">
        <w:rPr>
          <w:rFonts w:ascii="Times New Roman" w:hAnsi="Times New Roman"/>
          <w:sz w:val="28"/>
          <w:szCs w:val="28"/>
        </w:rPr>
        <w:t>的课程</w:t>
      </w:r>
      <w:r>
        <w:rPr>
          <w:rFonts w:ascii="Times New Roman" w:hAnsi="Times New Roman" w:hint="eastAsia"/>
          <w:sz w:val="28"/>
          <w:szCs w:val="28"/>
        </w:rPr>
        <w:t>；</w:t>
      </w:r>
    </w:p>
    <w:p w:rsidR="000B0564" w:rsidRDefault="000B0564" w:rsidP="000B0564">
      <w:pPr>
        <w:pStyle w:val="a5"/>
        <w:numPr>
          <w:ilvl w:val="0"/>
          <w:numId w:val="7"/>
        </w:numPr>
        <w:shd w:val="clear" w:color="auto" w:fill="FFFFFF"/>
        <w:snapToGrid w:val="0"/>
        <w:spacing w:line="312" w:lineRule="auto"/>
        <w:ind w:firstLineChars="0"/>
        <w:rPr>
          <w:rFonts w:ascii="Times New Roman" w:hAnsi="Times New Roman"/>
          <w:sz w:val="28"/>
          <w:szCs w:val="28"/>
        </w:rPr>
      </w:pPr>
      <w:r w:rsidRPr="000B0564">
        <w:rPr>
          <w:rFonts w:ascii="Times New Roman" w:hAnsi="Times New Roman"/>
          <w:sz w:val="28"/>
          <w:szCs w:val="28"/>
        </w:rPr>
        <w:t>具</w:t>
      </w:r>
      <w:r w:rsidRPr="000B0564">
        <w:rPr>
          <w:rFonts w:ascii="Times New Roman" w:hAnsi="Times New Roman" w:hint="eastAsia"/>
          <w:sz w:val="28"/>
          <w:szCs w:val="28"/>
        </w:rPr>
        <w:t>有</w:t>
      </w:r>
      <w:r w:rsidRPr="000B0564">
        <w:rPr>
          <w:rFonts w:ascii="Times New Roman" w:hAnsi="Times New Roman"/>
          <w:sz w:val="28"/>
          <w:szCs w:val="28"/>
        </w:rPr>
        <w:t>地方特色、行业特色</w:t>
      </w:r>
      <w:r w:rsidRPr="000B0564">
        <w:rPr>
          <w:rFonts w:ascii="Times New Roman" w:hAnsi="Times New Roman" w:hint="eastAsia"/>
          <w:sz w:val="28"/>
          <w:szCs w:val="28"/>
        </w:rPr>
        <w:t>，</w:t>
      </w:r>
      <w:r w:rsidR="00C377DD">
        <w:rPr>
          <w:rFonts w:ascii="Times New Roman" w:hAnsi="Times New Roman" w:hint="eastAsia"/>
          <w:sz w:val="28"/>
          <w:szCs w:val="28"/>
        </w:rPr>
        <w:t>且</w:t>
      </w:r>
      <w:r w:rsidRPr="000B0564">
        <w:rPr>
          <w:rFonts w:ascii="Times New Roman" w:hAnsi="Times New Roman"/>
          <w:sz w:val="28"/>
          <w:szCs w:val="28"/>
        </w:rPr>
        <w:t>对同类</w:t>
      </w:r>
      <w:r w:rsidRPr="000B0564">
        <w:rPr>
          <w:rFonts w:ascii="Times New Roman" w:hAnsi="Times New Roman" w:hint="eastAsia"/>
          <w:sz w:val="28"/>
          <w:szCs w:val="28"/>
        </w:rPr>
        <w:t>型</w:t>
      </w:r>
      <w:r w:rsidRPr="000B0564">
        <w:rPr>
          <w:rFonts w:ascii="Times New Roman" w:hAnsi="Times New Roman"/>
          <w:sz w:val="28"/>
          <w:szCs w:val="28"/>
        </w:rPr>
        <w:t>学校具有</w:t>
      </w:r>
      <w:r w:rsidRPr="000B0564">
        <w:rPr>
          <w:rFonts w:ascii="Times New Roman" w:hAnsi="Times New Roman" w:hint="eastAsia"/>
          <w:sz w:val="28"/>
          <w:szCs w:val="28"/>
        </w:rPr>
        <w:t>引领</w:t>
      </w:r>
      <w:r w:rsidRPr="000B0564">
        <w:rPr>
          <w:rFonts w:ascii="Times New Roman" w:hAnsi="Times New Roman"/>
          <w:sz w:val="28"/>
          <w:szCs w:val="28"/>
        </w:rPr>
        <w:t>和示范作用的</w:t>
      </w:r>
      <w:r>
        <w:rPr>
          <w:rFonts w:ascii="Times New Roman" w:hAnsi="Times New Roman" w:hint="eastAsia"/>
          <w:sz w:val="28"/>
          <w:szCs w:val="28"/>
        </w:rPr>
        <w:t>优秀</w:t>
      </w:r>
      <w:r w:rsidRPr="000B0564">
        <w:rPr>
          <w:rFonts w:ascii="Times New Roman" w:hAnsi="Times New Roman"/>
          <w:sz w:val="28"/>
          <w:szCs w:val="28"/>
        </w:rPr>
        <w:t>课程</w:t>
      </w:r>
      <w:r>
        <w:rPr>
          <w:rFonts w:ascii="Times New Roman" w:hAnsi="Times New Roman" w:hint="eastAsia"/>
          <w:sz w:val="28"/>
          <w:szCs w:val="28"/>
        </w:rPr>
        <w:t>；</w:t>
      </w:r>
    </w:p>
    <w:p w:rsidR="000B0564" w:rsidRDefault="000B0564" w:rsidP="000B0564">
      <w:pPr>
        <w:pStyle w:val="a5"/>
        <w:numPr>
          <w:ilvl w:val="0"/>
          <w:numId w:val="7"/>
        </w:numPr>
        <w:shd w:val="clear" w:color="auto" w:fill="FFFFFF"/>
        <w:snapToGrid w:val="0"/>
        <w:spacing w:line="312" w:lineRule="auto"/>
        <w:ind w:firstLineChars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有利于</w:t>
      </w:r>
      <w:r>
        <w:rPr>
          <w:rFonts w:ascii="Times New Roman" w:hAnsi="Times New Roman"/>
          <w:sz w:val="28"/>
          <w:szCs w:val="28"/>
        </w:rPr>
        <w:t>学生就业的</w:t>
      </w:r>
      <w:r>
        <w:rPr>
          <w:rFonts w:ascii="Times New Roman" w:hAnsi="Times New Roman" w:hint="eastAsia"/>
          <w:sz w:val="28"/>
          <w:szCs w:val="28"/>
        </w:rPr>
        <w:t>实</w:t>
      </w:r>
      <w:r>
        <w:rPr>
          <w:rFonts w:ascii="Times New Roman" w:hAnsi="Times New Roman"/>
          <w:sz w:val="28"/>
          <w:szCs w:val="28"/>
        </w:rPr>
        <w:t>训</w:t>
      </w:r>
      <w:r>
        <w:rPr>
          <w:rFonts w:ascii="Times New Roman" w:hAnsi="Times New Roman" w:hint="eastAsia"/>
          <w:sz w:val="28"/>
          <w:szCs w:val="28"/>
        </w:rPr>
        <w:t>课程；</w:t>
      </w:r>
    </w:p>
    <w:p w:rsidR="000B0564" w:rsidRDefault="000B0564" w:rsidP="000B0564">
      <w:pPr>
        <w:pStyle w:val="a5"/>
        <w:numPr>
          <w:ilvl w:val="0"/>
          <w:numId w:val="7"/>
        </w:numPr>
        <w:shd w:val="clear" w:color="auto" w:fill="FFFFFF"/>
        <w:snapToGrid w:val="0"/>
        <w:spacing w:line="312" w:lineRule="auto"/>
        <w:ind w:firstLineChars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>计算机与其他</w:t>
      </w:r>
      <w:r w:rsidR="00C377DD">
        <w:rPr>
          <w:rFonts w:ascii="Times New Roman" w:hAnsi="Times New Roman" w:hint="eastAsia"/>
          <w:sz w:val="28"/>
          <w:szCs w:val="28"/>
        </w:rPr>
        <w:t>专业</w:t>
      </w:r>
      <w:r>
        <w:rPr>
          <w:rFonts w:ascii="Times New Roman" w:hAnsi="Times New Roman"/>
          <w:sz w:val="28"/>
          <w:szCs w:val="28"/>
        </w:rPr>
        <w:t>结合的跨专业</w:t>
      </w:r>
      <w:r w:rsidR="00C377DD">
        <w:rPr>
          <w:rFonts w:ascii="Times New Roman" w:hAnsi="Times New Roman" w:hint="eastAsia"/>
          <w:sz w:val="28"/>
          <w:szCs w:val="28"/>
        </w:rPr>
        <w:t>课程；</w:t>
      </w:r>
    </w:p>
    <w:p w:rsidR="00C377DD" w:rsidRDefault="00C377DD" w:rsidP="000B0564">
      <w:pPr>
        <w:pStyle w:val="a5"/>
        <w:numPr>
          <w:ilvl w:val="0"/>
          <w:numId w:val="7"/>
        </w:numPr>
        <w:shd w:val="clear" w:color="auto" w:fill="FFFFFF"/>
        <w:snapToGrid w:val="0"/>
        <w:spacing w:line="312" w:lineRule="auto"/>
        <w:ind w:firstLineChars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其他</w:t>
      </w:r>
      <w:r>
        <w:rPr>
          <w:rFonts w:ascii="Times New Roman" w:hAnsi="Times New Roman"/>
          <w:sz w:val="28"/>
          <w:szCs w:val="28"/>
        </w:rPr>
        <w:t>论证清楚的优秀课程。</w:t>
      </w:r>
    </w:p>
    <w:p w:rsidR="00C377DD" w:rsidRPr="00C377DD" w:rsidRDefault="00C377DD" w:rsidP="00C377DD">
      <w:pPr>
        <w:shd w:val="clear" w:color="auto" w:fill="FFFFFF"/>
        <w:snapToGrid w:val="0"/>
        <w:spacing w:line="312" w:lineRule="auto"/>
        <w:ind w:firstLineChars="201" w:firstLine="563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获得立项</w:t>
      </w:r>
      <w:r>
        <w:rPr>
          <w:rFonts w:ascii="Times New Roman" w:hAnsi="Times New Roman"/>
          <w:sz w:val="28"/>
          <w:szCs w:val="28"/>
        </w:rPr>
        <w:t>的课程，可以</w:t>
      </w:r>
      <w:r>
        <w:rPr>
          <w:rFonts w:ascii="Times New Roman" w:hAnsi="Times New Roman" w:hint="eastAsia"/>
          <w:sz w:val="28"/>
          <w:szCs w:val="28"/>
        </w:rPr>
        <w:t>自筹经费</w:t>
      </w:r>
      <w:r>
        <w:rPr>
          <w:rFonts w:ascii="Times New Roman" w:hAnsi="Times New Roman"/>
          <w:sz w:val="28"/>
          <w:szCs w:val="28"/>
        </w:rPr>
        <w:t>建设</w:t>
      </w:r>
      <w:r>
        <w:rPr>
          <w:rFonts w:ascii="Times New Roman" w:hAnsi="Times New Roman" w:hint="eastAsia"/>
          <w:sz w:val="28"/>
          <w:szCs w:val="28"/>
        </w:rPr>
        <w:t>、</w:t>
      </w:r>
      <w:r>
        <w:rPr>
          <w:rFonts w:ascii="Times New Roman" w:hAnsi="Times New Roman"/>
          <w:sz w:val="28"/>
          <w:szCs w:val="28"/>
        </w:rPr>
        <w:t>运营</w:t>
      </w:r>
      <w:r>
        <w:rPr>
          <w:rFonts w:ascii="Times New Roman" w:hAnsi="Times New Roman" w:hint="eastAsia"/>
          <w:sz w:val="28"/>
          <w:szCs w:val="28"/>
        </w:rPr>
        <w:t>；</w:t>
      </w:r>
      <w:r>
        <w:rPr>
          <w:rFonts w:ascii="Times New Roman" w:hAnsi="Times New Roman"/>
          <w:sz w:val="28"/>
          <w:szCs w:val="28"/>
        </w:rPr>
        <w:t>也可以与过来人公司签署</w:t>
      </w:r>
      <w:r>
        <w:rPr>
          <w:rFonts w:ascii="Times New Roman" w:hAnsi="Times New Roman" w:hint="eastAsia"/>
          <w:sz w:val="28"/>
          <w:szCs w:val="28"/>
        </w:rPr>
        <w:t>课程建设</w:t>
      </w:r>
      <w:r>
        <w:rPr>
          <w:rFonts w:ascii="Times New Roman" w:hAnsi="Times New Roman"/>
          <w:sz w:val="28"/>
          <w:szCs w:val="28"/>
        </w:rPr>
        <w:t>与运营协议，</w:t>
      </w:r>
      <w:r>
        <w:rPr>
          <w:rFonts w:ascii="Times New Roman" w:hAnsi="Times New Roman"/>
          <w:sz w:val="28"/>
          <w:szCs w:val="24"/>
        </w:rPr>
        <w:t>由过来人公司免费</w:t>
      </w:r>
      <w:r>
        <w:rPr>
          <w:rFonts w:ascii="Times New Roman" w:hAnsi="Times New Roman" w:hint="eastAsia"/>
          <w:sz w:val="28"/>
          <w:szCs w:val="24"/>
        </w:rPr>
        <w:t>提供</w:t>
      </w:r>
      <w:r>
        <w:rPr>
          <w:rFonts w:ascii="Times New Roman" w:hAnsi="Times New Roman"/>
          <w:sz w:val="28"/>
          <w:szCs w:val="24"/>
        </w:rPr>
        <w:t>制作</w:t>
      </w:r>
      <w:r>
        <w:rPr>
          <w:rFonts w:ascii="Times New Roman" w:hAnsi="Times New Roman" w:hint="eastAsia"/>
          <w:sz w:val="28"/>
          <w:szCs w:val="24"/>
        </w:rPr>
        <w:t>与运营支持，并</w:t>
      </w:r>
      <w:r>
        <w:rPr>
          <w:rFonts w:ascii="Times New Roman" w:hAnsi="Times New Roman"/>
          <w:sz w:val="28"/>
          <w:szCs w:val="24"/>
        </w:rPr>
        <w:t>在</w:t>
      </w:r>
      <w:r>
        <w:rPr>
          <w:rFonts w:ascii="Times New Roman" w:hAnsi="Times New Roman"/>
          <w:sz w:val="28"/>
          <w:szCs w:val="24"/>
        </w:rPr>
        <w:t>“TopU.com</w:t>
      </w:r>
      <w:r>
        <w:rPr>
          <w:rFonts w:ascii="Times New Roman" w:hAnsi="Times New Roman" w:hint="eastAsia"/>
          <w:sz w:val="28"/>
          <w:szCs w:val="24"/>
        </w:rPr>
        <w:t>顶你学堂</w:t>
      </w:r>
      <w:r>
        <w:rPr>
          <w:rFonts w:ascii="Times New Roman" w:hAnsi="Times New Roman"/>
          <w:sz w:val="28"/>
          <w:szCs w:val="24"/>
        </w:rPr>
        <w:t>”</w:t>
      </w:r>
      <w:r>
        <w:rPr>
          <w:rFonts w:ascii="Times New Roman" w:hAnsi="Times New Roman" w:hint="eastAsia"/>
          <w:sz w:val="28"/>
          <w:szCs w:val="24"/>
        </w:rPr>
        <w:t>的“</w:t>
      </w:r>
      <w:r w:rsidRPr="003E51A6">
        <w:rPr>
          <w:rFonts w:ascii="Times New Roman" w:hAnsi="Times New Roman" w:hint="eastAsia"/>
          <w:sz w:val="28"/>
          <w:szCs w:val="24"/>
        </w:rPr>
        <w:t>全国高等学校计算机教育研究会</w:t>
      </w:r>
      <w:r>
        <w:rPr>
          <w:rFonts w:ascii="Times New Roman" w:hAnsi="Times New Roman" w:hint="eastAsia"/>
          <w:sz w:val="28"/>
          <w:szCs w:val="24"/>
        </w:rPr>
        <w:t>推荐课程</w:t>
      </w:r>
      <w:r>
        <w:rPr>
          <w:rFonts w:ascii="Times New Roman" w:hAnsi="Times New Roman"/>
          <w:sz w:val="28"/>
          <w:szCs w:val="24"/>
        </w:rPr>
        <w:t>专区</w:t>
      </w:r>
      <w:r>
        <w:rPr>
          <w:rFonts w:ascii="Times New Roman" w:hAnsi="Times New Roman"/>
          <w:sz w:val="28"/>
          <w:szCs w:val="24"/>
        </w:rPr>
        <w:t>”</w:t>
      </w:r>
      <w:r>
        <w:rPr>
          <w:rFonts w:ascii="Times New Roman" w:hAnsi="Times New Roman" w:hint="eastAsia"/>
          <w:sz w:val="28"/>
          <w:szCs w:val="24"/>
        </w:rPr>
        <w:t>上线</w:t>
      </w:r>
      <w:r>
        <w:rPr>
          <w:rFonts w:ascii="Times New Roman" w:hAnsi="Times New Roman"/>
          <w:sz w:val="28"/>
          <w:szCs w:val="24"/>
        </w:rPr>
        <w:t>。</w:t>
      </w:r>
    </w:p>
    <w:p w:rsidR="00130FD8" w:rsidRPr="007F0F73" w:rsidRDefault="00130FD8" w:rsidP="0001441B">
      <w:pPr>
        <w:spacing w:line="312" w:lineRule="auto"/>
      </w:pPr>
    </w:p>
    <w:sectPr w:rsidR="00130FD8" w:rsidRPr="007F0F73" w:rsidSect="0012707B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AC" w:rsidRDefault="005437AC" w:rsidP="0012707B">
      <w:r>
        <w:separator/>
      </w:r>
    </w:p>
  </w:endnote>
  <w:endnote w:type="continuationSeparator" w:id="0">
    <w:p w:rsidR="005437AC" w:rsidRDefault="005437AC" w:rsidP="0012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AC" w:rsidRDefault="005437AC" w:rsidP="0012707B">
      <w:r>
        <w:separator/>
      </w:r>
    </w:p>
  </w:footnote>
  <w:footnote w:type="continuationSeparator" w:id="0">
    <w:p w:rsidR="005437AC" w:rsidRDefault="005437AC" w:rsidP="00127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D7571"/>
    <w:multiLevelType w:val="hybridMultilevel"/>
    <w:tmpl w:val="105ACB82"/>
    <w:lvl w:ilvl="0" w:tplc="CB5C08B2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04596E42"/>
    <w:multiLevelType w:val="hybridMultilevel"/>
    <w:tmpl w:val="6732508E"/>
    <w:lvl w:ilvl="0" w:tplc="04090011">
      <w:start w:val="1"/>
      <w:numFmt w:val="decimal"/>
      <w:lvlText w:val="%1)"/>
      <w:lvlJc w:val="left"/>
      <w:pPr>
        <w:tabs>
          <w:tab w:val="num" w:pos="0"/>
        </w:tabs>
        <w:ind w:left="844" w:hanging="420"/>
      </w:pPr>
    </w:lvl>
    <w:lvl w:ilvl="1" w:tplc="D248AB7E">
      <w:start w:val="1"/>
      <w:numFmt w:val="bullet"/>
      <w:lvlText w:val=""/>
      <w:lvlJc w:val="left"/>
      <w:pPr>
        <w:tabs>
          <w:tab w:val="num" w:pos="0"/>
        </w:tabs>
        <w:ind w:left="1264" w:hanging="420"/>
      </w:pPr>
      <w:rPr>
        <w:rFonts w:ascii="Wingdings" w:hAnsi="Wingdings" w:hint="default"/>
      </w:rPr>
    </w:lvl>
    <w:lvl w:ilvl="2" w:tplc="8702F346">
      <w:start w:val="1"/>
      <w:numFmt w:val="bullet"/>
      <w:lvlText w:val=""/>
      <w:lvlJc w:val="left"/>
      <w:pPr>
        <w:tabs>
          <w:tab w:val="num" w:pos="0"/>
        </w:tabs>
        <w:ind w:left="1684" w:hanging="420"/>
      </w:pPr>
      <w:rPr>
        <w:rFonts w:ascii="Wingdings" w:hAnsi="Wingdings" w:hint="default"/>
      </w:rPr>
    </w:lvl>
    <w:lvl w:ilvl="3" w:tplc="7AC8B4D0">
      <w:start w:val="1"/>
      <w:numFmt w:val="bullet"/>
      <w:lvlText w:val=""/>
      <w:lvlJc w:val="left"/>
      <w:pPr>
        <w:tabs>
          <w:tab w:val="num" w:pos="0"/>
        </w:tabs>
        <w:ind w:left="2104" w:hanging="420"/>
      </w:pPr>
      <w:rPr>
        <w:rFonts w:ascii="Wingdings" w:hAnsi="Wingdings" w:hint="default"/>
      </w:rPr>
    </w:lvl>
    <w:lvl w:ilvl="4" w:tplc="1C380856">
      <w:start w:val="1"/>
      <w:numFmt w:val="bullet"/>
      <w:lvlText w:val=""/>
      <w:lvlJc w:val="left"/>
      <w:pPr>
        <w:tabs>
          <w:tab w:val="num" w:pos="0"/>
        </w:tabs>
        <w:ind w:left="2524" w:hanging="420"/>
      </w:pPr>
      <w:rPr>
        <w:rFonts w:ascii="Wingdings" w:hAnsi="Wingdings" w:hint="default"/>
      </w:rPr>
    </w:lvl>
    <w:lvl w:ilvl="5" w:tplc="4A7C0722">
      <w:start w:val="1"/>
      <w:numFmt w:val="bullet"/>
      <w:lvlText w:val=""/>
      <w:lvlJc w:val="left"/>
      <w:pPr>
        <w:tabs>
          <w:tab w:val="num" w:pos="0"/>
        </w:tabs>
        <w:ind w:left="2944" w:hanging="420"/>
      </w:pPr>
      <w:rPr>
        <w:rFonts w:ascii="Wingdings" w:hAnsi="Wingdings" w:hint="default"/>
      </w:rPr>
    </w:lvl>
    <w:lvl w:ilvl="6" w:tplc="0ECE4984">
      <w:start w:val="1"/>
      <w:numFmt w:val="bullet"/>
      <w:lvlText w:val=""/>
      <w:lvlJc w:val="left"/>
      <w:pPr>
        <w:tabs>
          <w:tab w:val="num" w:pos="0"/>
        </w:tabs>
        <w:ind w:left="3364" w:hanging="420"/>
      </w:pPr>
      <w:rPr>
        <w:rFonts w:ascii="Wingdings" w:hAnsi="Wingdings" w:hint="default"/>
      </w:rPr>
    </w:lvl>
    <w:lvl w:ilvl="7" w:tplc="BAE46AB0">
      <w:start w:val="1"/>
      <w:numFmt w:val="bullet"/>
      <w:lvlText w:val=""/>
      <w:lvlJc w:val="left"/>
      <w:pPr>
        <w:tabs>
          <w:tab w:val="num" w:pos="0"/>
        </w:tabs>
        <w:ind w:left="3784" w:hanging="420"/>
      </w:pPr>
      <w:rPr>
        <w:rFonts w:ascii="Wingdings" w:hAnsi="Wingdings" w:hint="default"/>
      </w:rPr>
    </w:lvl>
    <w:lvl w:ilvl="8" w:tplc="467A025C">
      <w:start w:val="1"/>
      <w:numFmt w:val="bullet"/>
      <w:lvlText w:val=""/>
      <w:lvlJc w:val="left"/>
      <w:pPr>
        <w:tabs>
          <w:tab w:val="num" w:pos="0"/>
        </w:tabs>
        <w:ind w:left="4204" w:hanging="420"/>
      </w:pPr>
      <w:rPr>
        <w:rFonts w:ascii="Wingdings" w:hAnsi="Wingdings" w:hint="default"/>
      </w:rPr>
    </w:lvl>
  </w:abstractNum>
  <w:abstractNum w:abstractNumId="2">
    <w:nsid w:val="1D4F0C70"/>
    <w:multiLevelType w:val="hybridMultilevel"/>
    <w:tmpl w:val="A11E6F50"/>
    <w:lvl w:ilvl="0" w:tplc="04090011">
      <w:start w:val="1"/>
      <w:numFmt w:val="decimal"/>
      <w:lvlText w:val="%1)"/>
      <w:lvlJc w:val="left"/>
      <w:pPr>
        <w:tabs>
          <w:tab w:val="num" w:pos="0"/>
        </w:tabs>
        <w:ind w:left="844" w:hanging="420"/>
      </w:pPr>
    </w:lvl>
    <w:lvl w:ilvl="1" w:tplc="2876A95A">
      <w:start w:val="1"/>
      <w:numFmt w:val="bullet"/>
      <w:lvlText w:val=""/>
      <w:lvlJc w:val="left"/>
      <w:pPr>
        <w:tabs>
          <w:tab w:val="num" w:pos="0"/>
        </w:tabs>
        <w:ind w:left="1264" w:hanging="420"/>
      </w:pPr>
      <w:rPr>
        <w:rFonts w:ascii="Wingdings" w:hAnsi="Wingdings" w:hint="default"/>
      </w:rPr>
    </w:lvl>
    <w:lvl w:ilvl="2" w:tplc="7026DD86">
      <w:start w:val="1"/>
      <w:numFmt w:val="bullet"/>
      <w:lvlText w:val=""/>
      <w:lvlJc w:val="left"/>
      <w:pPr>
        <w:tabs>
          <w:tab w:val="num" w:pos="0"/>
        </w:tabs>
        <w:ind w:left="1684" w:hanging="420"/>
      </w:pPr>
      <w:rPr>
        <w:rFonts w:ascii="Wingdings" w:hAnsi="Wingdings" w:hint="default"/>
      </w:rPr>
    </w:lvl>
    <w:lvl w:ilvl="3" w:tplc="D81C2B92">
      <w:start w:val="1"/>
      <w:numFmt w:val="bullet"/>
      <w:lvlText w:val=""/>
      <w:lvlJc w:val="left"/>
      <w:pPr>
        <w:tabs>
          <w:tab w:val="num" w:pos="0"/>
        </w:tabs>
        <w:ind w:left="2104" w:hanging="420"/>
      </w:pPr>
      <w:rPr>
        <w:rFonts w:ascii="Wingdings" w:hAnsi="Wingdings" w:hint="default"/>
      </w:rPr>
    </w:lvl>
    <w:lvl w:ilvl="4" w:tplc="C8782ADA">
      <w:start w:val="1"/>
      <w:numFmt w:val="bullet"/>
      <w:lvlText w:val=""/>
      <w:lvlJc w:val="left"/>
      <w:pPr>
        <w:tabs>
          <w:tab w:val="num" w:pos="0"/>
        </w:tabs>
        <w:ind w:left="2524" w:hanging="420"/>
      </w:pPr>
      <w:rPr>
        <w:rFonts w:ascii="Wingdings" w:hAnsi="Wingdings" w:hint="default"/>
      </w:rPr>
    </w:lvl>
    <w:lvl w:ilvl="5" w:tplc="77D82B5C">
      <w:start w:val="1"/>
      <w:numFmt w:val="bullet"/>
      <w:lvlText w:val=""/>
      <w:lvlJc w:val="left"/>
      <w:pPr>
        <w:tabs>
          <w:tab w:val="num" w:pos="0"/>
        </w:tabs>
        <w:ind w:left="2944" w:hanging="420"/>
      </w:pPr>
      <w:rPr>
        <w:rFonts w:ascii="Wingdings" w:hAnsi="Wingdings" w:hint="default"/>
      </w:rPr>
    </w:lvl>
    <w:lvl w:ilvl="6" w:tplc="F11C87E0">
      <w:start w:val="1"/>
      <w:numFmt w:val="bullet"/>
      <w:lvlText w:val=""/>
      <w:lvlJc w:val="left"/>
      <w:pPr>
        <w:tabs>
          <w:tab w:val="num" w:pos="0"/>
        </w:tabs>
        <w:ind w:left="3364" w:hanging="420"/>
      </w:pPr>
      <w:rPr>
        <w:rFonts w:ascii="Wingdings" w:hAnsi="Wingdings" w:hint="default"/>
      </w:rPr>
    </w:lvl>
    <w:lvl w:ilvl="7" w:tplc="1144BBFC">
      <w:start w:val="1"/>
      <w:numFmt w:val="bullet"/>
      <w:lvlText w:val=""/>
      <w:lvlJc w:val="left"/>
      <w:pPr>
        <w:tabs>
          <w:tab w:val="num" w:pos="0"/>
        </w:tabs>
        <w:ind w:left="3784" w:hanging="420"/>
      </w:pPr>
      <w:rPr>
        <w:rFonts w:ascii="Wingdings" w:hAnsi="Wingdings" w:hint="default"/>
      </w:rPr>
    </w:lvl>
    <w:lvl w:ilvl="8" w:tplc="52DE6F48">
      <w:start w:val="1"/>
      <w:numFmt w:val="bullet"/>
      <w:lvlText w:val=""/>
      <w:lvlJc w:val="left"/>
      <w:pPr>
        <w:tabs>
          <w:tab w:val="num" w:pos="0"/>
        </w:tabs>
        <w:ind w:left="4204" w:hanging="420"/>
      </w:pPr>
      <w:rPr>
        <w:rFonts w:ascii="Wingdings" w:hAnsi="Wingdings" w:hint="default"/>
      </w:rPr>
    </w:lvl>
  </w:abstractNum>
  <w:abstractNum w:abstractNumId="3">
    <w:nsid w:val="21E75593"/>
    <w:multiLevelType w:val="hybridMultilevel"/>
    <w:tmpl w:val="197AB5A4"/>
    <w:lvl w:ilvl="0" w:tplc="AFF0246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4">
    <w:nsid w:val="59C63783"/>
    <w:multiLevelType w:val="hybridMultilevel"/>
    <w:tmpl w:val="ABC89F36"/>
    <w:lvl w:ilvl="0" w:tplc="BC0A566C">
      <w:start w:val="1"/>
      <w:numFmt w:val="decimal"/>
      <w:lvlText w:val="%1."/>
      <w:lvlJc w:val="left"/>
      <w:pPr>
        <w:tabs>
          <w:tab w:val="num" w:pos="0"/>
        </w:tabs>
        <w:ind w:left="844" w:hanging="420"/>
      </w:pPr>
      <w:rPr>
        <w:rFonts w:cs="Times New Roman"/>
      </w:rPr>
    </w:lvl>
    <w:lvl w:ilvl="1" w:tplc="D248AB7E">
      <w:start w:val="1"/>
      <w:numFmt w:val="bullet"/>
      <w:lvlText w:val=""/>
      <w:lvlJc w:val="left"/>
      <w:pPr>
        <w:tabs>
          <w:tab w:val="num" w:pos="0"/>
        </w:tabs>
        <w:ind w:left="1264" w:hanging="420"/>
      </w:pPr>
      <w:rPr>
        <w:rFonts w:ascii="Wingdings" w:hAnsi="Wingdings" w:hint="default"/>
      </w:rPr>
    </w:lvl>
    <w:lvl w:ilvl="2" w:tplc="8702F346">
      <w:start w:val="1"/>
      <w:numFmt w:val="bullet"/>
      <w:lvlText w:val=""/>
      <w:lvlJc w:val="left"/>
      <w:pPr>
        <w:tabs>
          <w:tab w:val="num" w:pos="0"/>
        </w:tabs>
        <w:ind w:left="1684" w:hanging="420"/>
      </w:pPr>
      <w:rPr>
        <w:rFonts w:ascii="Wingdings" w:hAnsi="Wingdings" w:hint="default"/>
      </w:rPr>
    </w:lvl>
    <w:lvl w:ilvl="3" w:tplc="7AC8B4D0">
      <w:start w:val="1"/>
      <w:numFmt w:val="bullet"/>
      <w:lvlText w:val=""/>
      <w:lvlJc w:val="left"/>
      <w:pPr>
        <w:tabs>
          <w:tab w:val="num" w:pos="0"/>
        </w:tabs>
        <w:ind w:left="2104" w:hanging="420"/>
      </w:pPr>
      <w:rPr>
        <w:rFonts w:ascii="Wingdings" w:hAnsi="Wingdings" w:hint="default"/>
      </w:rPr>
    </w:lvl>
    <w:lvl w:ilvl="4" w:tplc="1C380856">
      <w:start w:val="1"/>
      <w:numFmt w:val="bullet"/>
      <w:lvlText w:val=""/>
      <w:lvlJc w:val="left"/>
      <w:pPr>
        <w:tabs>
          <w:tab w:val="num" w:pos="0"/>
        </w:tabs>
        <w:ind w:left="2524" w:hanging="420"/>
      </w:pPr>
      <w:rPr>
        <w:rFonts w:ascii="Wingdings" w:hAnsi="Wingdings" w:hint="default"/>
      </w:rPr>
    </w:lvl>
    <w:lvl w:ilvl="5" w:tplc="4A7C0722">
      <w:start w:val="1"/>
      <w:numFmt w:val="bullet"/>
      <w:lvlText w:val=""/>
      <w:lvlJc w:val="left"/>
      <w:pPr>
        <w:tabs>
          <w:tab w:val="num" w:pos="0"/>
        </w:tabs>
        <w:ind w:left="2944" w:hanging="420"/>
      </w:pPr>
      <w:rPr>
        <w:rFonts w:ascii="Wingdings" w:hAnsi="Wingdings" w:hint="default"/>
      </w:rPr>
    </w:lvl>
    <w:lvl w:ilvl="6" w:tplc="0ECE4984">
      <w:start w:val="1"/>
      <w:numFmt w:val="bullet"/>
      <w:lvlText w:val=""/>
      <w:lvlJc w:val="left"/>
      <w:pPr>
        <w:tabs>
          <w:tab w:val="num" w:pos="0"/>
        </w:tabs>
        <w:ind w:left="3364" w:hanging="420"/>
      </w:pPr>
      <w:rPr>
        <w:rFonts w:ascii="Wingdings" w:hAnsi="Wingdings" w:hint="default"/>
      </w:rPr>
    </w:lvl>
    <w:lvl w:ilvl="7" w:tplc="BAE46AB0">
      <w:start w:val="1"/>
      <w:numFmt w:val="bullet"/>
      <w:lvlText w:val=""/>
      <w:lvlJc w:val="left"/>
      <w:pPr>
        <w:tabs>
          <w:tab w:val="num" w:pos="0"/>
        </w:tabs>
        <w:ind w:left="3784" w:hanging="420"/>
      </w:pPr>
      <w:rPr>
        <w:rFonts w:ascii="Wingdings" w:hAnsi="Wingdings" w:hint="default"/>
      </w:rPr>
    </w:lvl>
    <w:lvl w:ilvl="8" w:tplc="467A025C">
      <w:start w:val="1"/>
      <w:numFmt w:val="bullet"/>
      <w:lvlText w:val=""/>
      <w:lvlJc w:val="left"/>
      <w:pPr>
        <w:tabs>
          <w:tab w:val="num" w:pos="0"/>
        </w:tabs>
        <w:ind w:left="4204" w:hanging="420"/>
      </w:pPr>
      <w:rPr>
        <w:rFonts w:ascii="Wingdings" w:hAnsi="Wingdings" w:hint="default"/>
      </w:rPr>
    </w:lvl>
  </w:abstractNum>
  <w:abstractNum w:abstractNumId="5">
    <w:nsid w:val="5EAF1C2B"/>
    <w:multiLevelType w:val="hybridMultilevel"/>
    <w:tmpl w:val="8868A4D2"/>
    <w:lvl w:ilvl="0" w:tplc="8612ED7A">
      <w:start w:val="1"/>
      <w:numFmt w:val="decimal"/>
      <w:lvlText w:val="%1."/>
      <w:lvlJc w:val="left"/>
      <w:pPr>
        <w:tabs>
          <w:tab w:val="num" w:pos="0"/>
        </w:tabs>
        <w:ind w:left="844" w:hanging="420"/>
      </w:pPr>
      <w:rPr>
        <w:rFonts w:cs="Times New Roman"/>
      </w:rPr>
    </w:lvl>
    <w:lvl w:ilvl="1" w:tplc="2876A95A">
      <w:start w:val="1"/>
      <w:numFmt w:val="bullet"/>
      <w:lvlText w:val=""/>
      <w:lvlJc w:val="left"/>
      <w:pPr>
        <w:tabs>
          <w:tab w:val="num" w:pos="0"/>
        </w:tabs>
        <w:ind w:left="1264" w:hanging="420"/>
      </w:pPr>
      <w:rPr>
        <w:rFonts w:ascii="Wingdings" w:hAnsi="Wingdings" w:hint="default"/>
      </w:rPr>
    </w:lvl>
    <w:lvl w:ilvl="2" w:tplc="7026DD86">
      <w:start w:val="1"/>
      <w:numFmt w:val="bullet"/>
      <w:lvlText w:val=""/>
      <w:lvlJc w:val="left"/>
      <w:pPr>
        <w:tabs>
          <w:tab w:val="num" w:pos="0"/>
        </w:tabs>
        <w:ind w:left="1684" w:hanging="420"/>
      </w:pPr>
      <w:rPr>
        <w:rFonts w:ascii="Wingdings" w:hAnsi="Wingdings" w:hint="default"/>
      </w:rPr>
    </w:lvl>
    <w:lvl w:ilvl="3" w:tplc="D81C2B92">
      <w:start w:val="1"/>
      <w:numFmt w:val="bullet"/>
      <w:lvlText w:val=""/>
      <w:lvlJc w:val="left"/>
      <w:pPr>
        <w:tabs>
          <w:tab w:val="num" w:pos="0"/>
        </w:tabs>
        <w:ind w:left="2104" w:hanging="420"/>
      </w:pPr>
      <w:rPr>
        <w:rFonts w:ascii="Wingdings" w:hAnsi="Wingdings" w:hint="default"/>
      </w:rPr>
    </w:lvl>
    <w:lvl w:ilvl="4" w:tplc="C8782ADA">
      <w:start w:val="1"/>
      <w:numFmt w:val="bullet"/>
      <w:lvlText w:val=""/>
      <w:lvlJc w:val="left"/>
      <w:pPr>
        <w:tabs>
          <w:tab w:val="num" w:pos="0"/>
        </w:tabs>
        <w:ind w:left="2524" w:hanging="420"/>
      </w:pPr>
      <w:rPr>
        <w:rFonts w:ascii="Wingdings" w:hAnsi="Wingdings" w:hint="default"/>
      </w:rPr>
    </w:lvl>
    <w:lvl w:ilvl="5" w:tplc="77D82B5C">
      <w:start w:val="1"/>
      <w:numFmt w:val="bullet"/>
      <w:lvlText w:val=""/>
      <w:lvlJc w:val="left"/>
      <w:pPr>
        <w:tabs>
          <w:tab w:val="num" w:pos="0"/>
        </w:tabs>
        <w:ind w:left="2944" w:hanging="420"/>
      </w:pPr>
      <w:rPr>
        <w:rFonts w:ascii="Wingdings" w:hAnsi="Wingdings" w:hint="default"/>
      </w:rPr>
    </w:lvl>
    <w:lvl w:ilvl="6" w:tplc="F11C87E0">
      <w:start w:val="1"/>
      <w:numFmt w:val="bullet"/>
      <w:lvlText w:val=""/>
      <w:lvlJc w:val="left"/>
      <w:pPr>
        <w:tabs>
          <w:tab w:val="num" w:pos="0"/>
        </w:tabs>
        <w:ind w:left="3364" w:hanging="420"/>
      </w:pPr>
      <w:rPr>
        <w:rFonts w:ascii="Wingdings" w:hAnsi="Wingdings" w:hint="default"/>
      </w:rPr>
    </w:lvl>
    <w:lvl w:ilvl="7" w:tplc="1144BBFC">
      <w:start w:val="1"/>
      <w:numFmt w:val="bullet"/>
      <w:lvlText w:val=""/>
      <w:lvlJc w:val="left"/>
      <w:pPr>
        <w:tabs>
          <w:tab w:val="num" w:pos="0"/>
        </w:tabs>
        <w:ind w:left="3784" w:hanging="420"/>
      </w:pPr>
      <w:rPr>
        <w:rFonts w:ascii="Wingdings" w:hAnsi="Wingdings" w:hint="default"/>
      </w:rPr>
    </w:lvl>
    <w:lvl w:ilvl="8" w:tplc="52DE6F48">
      <w:start w:val="1"/>
      <w:numFmt w:val="bullet"/>
      <w:lvlText w:val=""/>
      <w:lvlJc w:val="left"/>
      <w:pPr>
        <w:tabs>
          <w:tab w:val="num" w:pos="0"/>
        </w:tabs>
        <w:ind w:left="4204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73"/>
    <w:rsid w:val="0001441B"/>
    <w:rsid w:val="0002470E"/>
    <w:rsid w:val="000B0564"/>
    <w:rsid w:val="0012707B"/>
    <w:rsid w:val="00130FD8"/>
    <w:rsid w:val="005437AC"/>
    <w:rsid w:val="006A552F"/>
    <w:rsid w:val="007F0F73"/>
    <w:rsid w:val="00C26872"/>
    <w:rsid w:val="00C377DD"/>
    <w:rsid w:val="00C82350"/>
    <w:rsid w:val="00D9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38EA5B-91B1-40BC-842B-AE1EC267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F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7F0F73"/>
    <w:pPr>
      <w:ind w:firstLineChars="200" w:firstLine="200"/>
    </w:pPr>
    <w:rPr>
      <w:rFonts w:cs="Calibri"/>
    </w:rPr>
  </w:style>
  <w:style w:type="paragraph" w:styleId="a3">
    <w:name w:val="header"/>
    <w:basedOn w:val="a"/>
    <w:link w:val="Char"/>
    <w:uiPriority w:val="99"/>
    <w:unhideWhenUsed/>
    <w:rsid w:val="00127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12707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12707B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0B05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</dc:creator>
  <cp:keywords/>
  <cp:lastModifiedBy>Zhengli</cp:lastModifiedBy>
  <cp:revision>4</cp:revision>
  <dcterms:created xsi:type="dcterms:W3CDTF">2015-02-13T13:54:00Z</dcterms:created>
  <dcterms:modified xsi:type="dcterms:W3CDTF">2015-02-13T14:35:00Z</dcterms:modified>
</cp:coreProperties>
</file>